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17CD5DB6" w14:textId="77777777" w:rsidR="004532FB" w:rsidRDefault="004532FB" w:rsidP="00E65417">
      <w:pPr>
        <w:pBdr>
          <w:top w:val="nil"/>
          <w:left w:val="nil"/>
          <w:bottom w:val="nil"/>
          <w:right w:val="nil"/>
          <w:between w:val="nil"/>
        </w:pBdr>
        <w:jc w:val="center"/>
        <w:rPr>
          <w:rFonts w:asciiTheme="majorHAnsi" w:hAnsiTheme="majorHAnsi" w:cstheme="majorHAnsi"/>
          <w:b/>
          <w:sz w:val="28"/>
          <w:szCs w:val="28"/>
          <w:u w:val="single"/>
          <w:lang w:eastAsia="en-US"/>
        </w:rPr>
      </w:pPr>
      <w:r w:rsidRPr="004532FB">
        <w:rPr>
          <w:rFonts w:asciiTheme="majorHAnsi" w:hAnsiTheme="majorHAnsi" w:cstheme="majorHAnsi"/>
          <w:b/>
          <w:sz w:val="28"/>
          <w:szCs w:val="28"/>
          <w:u w:val="single"/>
          <w:lang w:eastAsia="en-US"/>
        </w:rPr>
        <w:t>Supply and Delivery of Various Drugs and Medicines at Pangasinan Provincial Hospital, San Carlos City, Pangasinan</w:t>
      </w:r>
    </w:p>
    <w:p w14:paraId="00F3EFF8" w14:textId="7632D975" w:rsidR="00E65417" w:rsidRPr="006073D7" w:rsidRDefault="00E65417" w:rsidP="00E65417">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D87B96"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D87B96"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proofErr w:type="spellStart"/>
      <w:r w:rsidRPr="006073D7">
        <w:rPr>
          <w:b/>
        </w:rPr>
        <w:t>PhilGEPS</w:t>
      </w:r>
      <w:proofErr w:type="spellEnd"/>
      <w:r w:rsidRPr="006073D7">
        <w:rPr>
          <w:b/>
        </w:rPr>
        <w:t xml:space="preserve">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57A06FA7" w14:textId="77777777" w:rsidR="004532FB" w:rsidRDefault="004532FB" w:rsidP="004532FB">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05DCB24E" wp14:editId="7EB1027E">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0E82DE3" w14:textId="77777777" w:rsidR="004532FB" w:rsidRPr="005950FA" w:rsidRDefault="004532FB" w:rsidP="004532FB">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26353D9A" w14:textId="77777777" w:rsidR="004532FB" w:rsidRPr="005950FA" w:rsidRDefault="004532FB" w:rsidP="004532FB">
      <w:pPr>
        <w:jc w:val="center"/>
        <w:rPr>
          <w:rFonts w:ascii="Arial" w:hAnsi="Arial" w:cs="Arial"/>
          <w:sz w:val="18"/>
          <w:szCs w:val="18"/>
        </w:rPr>
      </w:pPr>
      <w:r w:rsidRPr="005950FA">
        <w:rPr>
          <w:rFonts w:ascii="Arial" w:hAnsi="Arial" w:cs="Arial"/>
          <w:sz w:val="18"/>
          <w:szCs w:val="18"/>
        </w:rPr>
        <w:t>Lingayen, Pangasinan</w:t>
      </w:r>
    </w:p>
    <w:p w14:paraId="6388F224" w14:textId="77777777" w:rsidR="004532FB" w:rsidRPr="005950FA" w:rsidRDefault="004532FB" w:rsidP="004532FB">
      <w:pPr>
        <w:jc w:val="center"/>
        <w:rPr>
          <w:rFonts w:ascii="Arial" w:hAnsi="Arial" w:cs="Arial"/>
          <w:sz w:val="18"/>
          <w:szCs w:val="18"/>
        </w:rPr>
      </w:pPr>
      <w:r w:rsidRPr="005950FA">
        <w:rPr>
          <w:rFonts w:ascii="Arial" w:hAnsi="Arial" w:cs="Arial"/>
          <w:sz w:val="18"/>
          <w:szCs w:val="18"/>
        </w:rPr>
        <w:t>Tel. No. (075) 632-7840</w:t>
      </w:r>
    </w:p>
    <w:p w14:paraId="17BE4DEF" w14:textId="77777777" w:rsidR="004532FB" w:rsidRPr="005950FA" w:rsidRDefault="004532FB" w:rsidP="004532FB">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7AC09127" w14:textId="77777777" w:rsidR="004532FB" w:rsidRDefault="004532FB" w:rsidP="004532FB">
      <w:pPr>
        <w:rPr>
          <w:color w:val="0000FF"/>
          <w:sz w:val="20"/>
          <w:u w:val="single"/>
        </w:rPr>
      </w:pPr>
    </w:p>
    <w:p w14:paraId="488D825F" w14:textId="77777777" w:rsidR="004532FB" w:rsidRPr="0068375F" w:rsidRDefault="004532FB" w:rsidP="004532FB">
      <w:pPr>
        <w:jc w:val="center"/>
        <w:rPr>
          <w:rFonts w:asciiTheme="minorHAnsi" w:hAnsiTheme="minorHAnsi" w:cstheme="minorHAnsi"/>
          <w:color w:val="0000FF"/>
          <w:sz w:val="20"/>
          <w:u w:val="single"/>
        </w:rPr>
      </w:pPr>
    </w:p>
    <w:p w14:paraId="77CF646E" w14:textId="77777777" w:rsidR="004532FB" w:rsidRPr="004532FB" w:rsidRDefault="004532FB" w:rsidP="004532FB">
      <w:pPr>
        <w:pStyle w:val="BodyText"/>
        <w:jc w:val="center"/>
        <w:rPr>
          <w:rFonts w:ascii="Arial" w:hAnsi="Arial" w:cs="Arial"/>
          <w:b/>
          <w:sz w:val="24"/>
          <w:szCs w:val="28"/>
        </w:rPr>
      </w:pPr>
      <w:bookmarkStart w:id="8" w:name="_Hlk29906657"/>
      <w:r w:rsidRPr="004532FB">
        <w:rPr>
          <w:rFonts w:ascii="Arial" w:hAnsi="Arial" w:cs="Arial"/>
          <w:b/>
          <w:sz w:val="24"/>
          <w:szCs w:val="28"/>
        </w:rPr>
        <w:t xml:space="preserve">INVITATION TO BID </w:t>
      </w:r>
    </w:p>
    <w:p w14:paraId="6A4CBBB5" w14:textId="77777777" w:rsidR="004532FB" w:rsidRPr="004532FB" w:rsidRDefault="004532FB" w:rsidP="004532FB">
      <w:pPr>
        <w:pStyle w:val="BodyText"/>
        <w:jc w:val="center"/>
        <w:rPr>
          <w:rFonts w:ascii="Arial" w:hAnsi="Arial" w:cs="Arial"/>
          <w:b/>
          <w:sz w:val="24"/>
          <w:szCs w:val="28"/>
        </w:rPr>
      </w:pPr>
      <w:r w:rsidRPr="004532FB">
        <w:rPr>
          <w:rFonts w:ascii="Arial" w:hAnsi="Arial" w:cs="Arial"/>
          <w:b/>
          <w:sz w:val="24"/>
          <w:szCs w:val="28"/>
        </w:rPr>
        <w:t>for</w:t>
      </w:r>
      <w:r w:rsidRPr="004532FB">
        <w:rPr>
          <w:rFonts w:ascii="Arial" w:hAnsi="Arial" w:cs="Arial"/>
          <w:b/>
          <w:i/>
          <w:sz w:val="24"/>
          <w:szCs w:val="28"/>
        </w:rPr>
        <w:t xml:space="preserve"> </w:t>
      </w:r>
    </w:p>
    <w:p w14:paraId="1CC9F063" w14:textId="77777777" w:rsidR="004532FB" w:rsidRPr="004532FB" w:rsidRDefault="004532FB" w:rsidP="004532FB">
      <w:pPr>
        <w:pStyle w:val="BodyText"/>
        <w:jc w:val="center"/>
        <w:rPr>
          <w:rFonts w:ascii="Arial" w:hAnsi="Arial" w:cs="Arial"/>
          <w:b/>
          <w:sz w:val="24"/>
          <w:szCs w:val="28"/>
        </w:rPr>
      </w:pPr>
      <w:bookmarkStart w:id="9" w:name="_Hlk94794603"/>
      <w:bookmarkStart w:id="10" w:name="_Hlk96094417"/>
      <w:bookmarkStart w:id="11" w:name="_Hlk25764610"/>
      <w:r w:rsidRPr="004532FB">
        <w:rPr>
          <w:rFonts w:ascii="Arial" w:hAnsi="Arial" w:cs="Arial"/>
          <w:b/>
          <w:sz w:val="24"/>
          <w:szCs w:val="28"/>
        </w:rPr>
        <w:t xml:space="preserve">Supply and Delivery of </w:t>
      </w:r>
      <w:bookmarkEnd w:id="9"/>
      <w:bookmarkEnd w:id="10"/>
      <w:r w:rsidRPr="004532FB">
        <w:rPr>
          <w:rFonts w:ascii="Arial" w:hAnsi="Arial" w:cs="Arial"/>
          <w:b/>
          <w:sz w:val="24"/>
          <w:szCs w:val="28"/>
        </w:rPr>
        <w:t>Various Drugs and Medicines at Pangasinan Provincial Hospital, San Carlos City, Pangasinan</w:t>
      </w:r>
    </w:p>
    <w:bookmarkEnd w:id="11"/>
    <w:p w14:paraId="0A17D372" w14:textId="77777777" w:rsidR="004532FB" w:rsidRPr="0068375F" w:rsidRDefault="004532FB" w:rsidP="004532FB">
      <w:pPr>
        <w:pStyle w:val="BodyText"/>
        <w:jc w:val="center"/>
        <w:rPr>
          <w:rFonts w:ascii="Arial" w:hAnsi="Arial" w:cs="Arial"/>
          <w:b/>
        </w:rPr>
      </w:pPr>
    </w:p>
    <w:p w14:paraId="4F1768D9" w14:textId="77777777" w:rsidR="004532FB" w:rsidRPr="0068375F" w:rsidRDefault="004532FB" w:rsidP="004532FB">
      <w:pPr>
        <w:pStyle w:val="BodyText"/>
        <w:jc w:val="center"/>
        <w:rPr>
          <w:rFonts w:ascii="Arial" w:hAnsi="Arial" w:cs="Arial"/>
          <w:sz w:val="22"/>
          <w:szCs w:val="22"/>
        </w:rPr>
      </w:pPr>
      <w:r>
        <w:rPr>
          <w:rFonts w:ascii="Arial" w:hAnsi="Arial" w:cs="Arial"/>
          <w:sz w:val="22"/>
          <w:szCs w:val="22"/>
        </w:rPr>
        <w:t>Project Identification No.: PANG-2022-03-0379-G</w:t>
      </w:r>
    </w:p>
    <w:p w14:paraId="501E1BA8" w14:textId="77777777" w:rsidR="004532FB" w:rsidRPr="0068375F" w:rsidRDefault="004532FB" w:rsidP="004532FB">
      <w:pPr>
        <w:pStyle w:val="BodyText"/>
        <w:jc w:val="left"/>
        <w:rPr>
          <w:rFonts w:ascii="Arial" w:hAnsi="Arial" w:cs="Arial"/>
        </w:rPr>
      </w:pPr>
    </w:p>
    <w:p w14:paraId="2E17D92B" w14:textId="77777777" w:rsidR="004532FB" w:rsidRPr="00E97551" w:rsidRDefault="004532FB" w:rsidP="004532FB">
      <w:pPr>
        <w:pStyle w:val="BodyText"/>
        <w:numPr>
          <w:ilvl w:val="0"/>
          <w:numId w:val="42"/>
        </w:numPr>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Pr>
          <w:rFonts w:ascii="Arial" w:hAnsi="Arial" w:cs="Arial"/>
          <w:b/>
          <w:sz w:val="21"/>
          <w:szCs w:val="21"/>
        </w:rPr>
        <w:t>Trust Fund (PR#2022-02-1101)</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Pr>
          <w:rFonts w:ascii="Arial" w:hAnsi="Arial" w:cs="Arial"/>
          <w:b/>
          <w:sz w:val="21"/>
          <w:szCs w:val="21"/>
        </w:rPr>
        <w:t xml:space="preserve">One Million Ninety-One Thousand Three Hundred Eight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Pr>
          <w:rFonts w:ascii="Arial" w:hAnsi="Arial" w:cs="Arial"/>
          <w:b/>
          <w:sz w:val="21"/>
          <w:szCs w:val="21"/>
        </w:rPr>
        <w:t>1,091,308.00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Pr="00C27E82">
        <w:rPr>
          <w:rFonts w:ascii="Arial" w:hAnsi="Arial" w:cs="Arial"/>
          <w:b/>
          <w:sz w:val="21"/>
          <w:szCs w:val="21"/>
        </w:rPr>
        <w:t>Supply and Delivery of Various Drugs and Medicines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63F317FE" w14:textId="77777777" w:rsidR="004532FB" w:rsidRPr="0068375F" w:rsidRDefault="004532FB" w:rsidP="004532FB">
      <w:pPr>
        <w:pStyle w:val="BodyText"/>
        <w:rPr>
          <w:rFonts w:ascii="Arial" w:hAnsi="Arial" w:cs="Arial"/>
          <w:sz w:val="21"/>
          <w:szCs w:val="21"/>
        </w:rPr>
      </w:pPr>
    </w:p>
    <w:p w14:paraId="7FEC4F26" w14:textId="77777777" w:rsidR="004532FB" w:rsidRPr="00A52E8C"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Drugs and Medicines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7A569E1" w14:textId="77777777" w:rsidR="004532FB" w:rsidRPr="0068375F" w:rsidRDefault="004532FB" w:rsidP="004532FB">
      <w:pPr>
        <w:pStyle w:val="BodyText"/>
        <w:rPr>
          <w:rFonts w:ascii="Arial" w:hAnsi="Arial" w:cs="Arial"/>
          <w:sz w:val="21"/>
          <w:szCs w:val="21"/>
        </w:rPr>
      </w:pPr>
    </w:p>
    <w:p w14:paraId="0FDBA6FF" w14:textId="77777777" w:rsidR="004532FB" w:rsidRPr="00467CAC"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78A23856" w14:textId="77777777" w:rsidR="004532FB" w:rsidRPr="0068375F" w:rsidRDefault="004532FB" w:rsidP="004532FB">
      <w:pPr>
        <w:pStyle w:val="BodyText"/>
        <w:rPr>
          <w:rFonts w:ascii="Arial" w:hAnsi="Arial" w:cs="Arial"/>
          <w:sz w:val="21"/>
          <w:szCs w:val="21"/>
        </w:rPr>
      </w:pPr>
    </w:p>
    <w:p w14:paraId="025821D3"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0A164265" w14:textId="77777777" w:rsidR="004532FB" w:rsidRPr="0068375F" w:rsidRDefault="004532FB" w:rsidP="004532FB">
      <w:pPr>
        <w:pStyle w:val="BodyText"/>
        <w:ind w:left="720"/>
        <w:rPr>
          <w:rFonts w:ascii="Arial" w:hAnsi="Arial" w:cs="Arial"/>
          <w:sz w:val="21"/>
          <w:szCs w:val="21"/>
        </w:rPr>
      </w:pPr>
    </w:p>
    <w:p w14:paraId="12FDCCA7" w14:textId="77777777" w:rsidR="004532FB"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2DA0D05E" w14:textId="77777777" w:rsidR="004532FB" w:rsidRPr="0068375F" w:rsidRDefault="004532FB" w:rsidP="004532FB">
      <w:pPr>
        <w:pStyle w:val="BodyText"/>
        <w:rPr>
          <w:rFonts w:ascii="Arial" w:hAnsi="Arial" w:cs="Arial"/>
          <w:sz w:val="21"/>
          <w:szCs w:val="21"/>
        </w:rPr>
      </w:pPr>
    </w:p>
    <w:p w14:paraId="0D66691A" w14:textId="77777777" w:rsidR="004532FB" w:rsidRPr="0068375F"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 xml:space="preserve">Two </w:t>
      </w:r>
      <w:r w:rsidRPr="0068375F">
        <w:rPr>
          <w:rFonts w:ascii="Arial" w:hAnsi="Arial" w:cs="Arial"/>
          <w:b/>
          <w:sz w:val="21"/>
          <w:szCs w:val="21"/>
        </w:rPr>
        <w:t>Thousand</w:t>
      </w:r>
      <w:r>
        <w:rPr>
          <w:rFonts w:ascii="Arial" w:hAnsi="Arial" w:cs="Arial"/>
          <w:b/>
          <w:sz w:val="21"/>
          <w:szCs w:val="21"/>
        </w:rPr>
        <w:t xml:space="preserve"> </w:t>
      </w:r>
      <w:r w:rsidRPr="0068375F">
        <w:rPr>
          <w:rFonts w:ascii="Arial" w:hAnsi="Arial" w:cs="Arial"/>
          <w:b/>
          <w:sz w:val="21"/>
          <w:szCs w:val="21"/>
        </w:rPr>
        <w:t>Pesos (P</w:t>
      </w:r>
      <w:r>
        <w:rPr>
          <w:rFonts w:ascii="Arial" w:hAnsi="Arial" w:cs="Arial"/>
          <w:b/>
          <w:sz w:val="21"/>
          <w:szCs w:val="21"/>
        </w:rPr>
        <w:t>2,0</w:t>
      </w:r>
      <w:r w:rsidRPr="0068375F">
        <w:rPr>
          <w:rFonts w:ascii="Arial" w:hAnsi="Arial" w:cs="Arial"/>
          <w:b/>
          <w:sz w:val="21"/>
          <w:szCs w:val="21"/>
        </w:rPr>
        <w:t>00.00)</w:t>
      </w:r>
      <w:r w:rsidRPr="0068375F">
        <w:rPr>
          <w:rFonts w:ascii="Arial" w:hAnsi="Arial" w:cs="Arial"/>
          <w:sz w:val="21"/>
          <w:szCs w:val="21"/>
        </w:rPr>
        <w:t>.</w:t>
      </w:r>
    </w:p>
    <w:p w14:paraId="2CDAB618" w14:textId="77777777" w:rsidR="004532FB" w:rsidRDefault="004532FB" w:rsidP="004532FB">
      <w:pPr>
        <w:pStyle w:val="BodyText"/>
        <w:rPr>
          <w:rFonts w:ascii="Arial" w:hAnsi="Arial" w:cs="Arial"/>
          <w:sz w:val="21"/>
          <w:szCs w:val="21"/>
        </w:rPr>
      </w:pPr>
    </w:p>
    <w:p w14:paraId="5D8875EB"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5720AD98" w14:textId="77777777" w:rsidR="004532FB" w:rsidRPr="0068375F" w:rsidRDefault="004532FB" w:rsidP="004532FB">
      <w:pPr>
        <w:pStyle w:val="BodyText"/>
        <w:ind w:left="720"/>
        <w:rPr>
          <w:rFonts w:ascii="Arial" w:hAnsi="Arial" w:cs="Arial"/>
          <w:sz w:val="21"/>
          <w:szCs w:val="21"/>
        </w:rPr>
      </w:pPr>
    </w:p>
    <w:p w14:paraId="1BB0940F" w14:textId="77777777" w:rsidR="004532FB" w:rsidRPr="0068375F"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3" w:name="_Hlk50462196"/>
      <w:r>
        <w:rPr>
          <w:rFonts w:ascii="Arial" w:hAnsi="Arial" w:cs="Arial"/>
          <w:b/>
          <w:sz w:val="21"/>
          <w:szCs w:val="21"/>
        </w:rPr>
        <w:t>March 11,</w:t>
      </w:r>
      <w:r w:rsidRPr="00327DD0">
        <w:rPr>
          <w:rFonts w:ascii="Arial" w:hAnsi="Arial" w:cs="Arial"/>
          <w:b/>
          <w:sz w:val="21"/>
          <w:szCs w:val="21"/>
        </w:rPr>
        <w:t xml:space="preserve"> 202</w:t>
      </w:r>
      <w:r>
        <w:rPr>
          <w:rFonts w:ascii="Arial" w:hAnsi="Arial" w:cs="Arial"/>
          <w:b/>
          <w:sz w:val="21"/>
          <w:szCs w:val="21"/>
        </w:rPr>
        <w:t>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bookmarkEnd w:id="13"/>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w:t>
      </w:r>
      <w:proofErr w:type="spellStart"/>
      <w:r w:rsidRPr="001E77E1">
        <w:rPr>
          <w:rFonts w:ascii="Arial" w:hAnsi="Arial" w:cs="Arial"/>
          <w:b/>
          <w:sz w:val="21"/>
          <w:szCs w:val="21"/>
        </w:rPr>
        <w:t>Malong</w:t>
      </w:r>
      <w:proofErr w:type="spellEnd"/>
      <w:r w:rsidRPr="001E77E1">
        <w:rPr>
          <w:rFonts w:ascii="Arial" w:hAnsi="Arial" w:cs="Arial"/>
          <w:b/>
          <w:sz w:val="21"/>
          <w:szCs w:val="21"/>
        </w:rPr>
        <w:t xml:space="preserve"> Building, Capitol Compound, Lingayen, Pangasinan</w:t>
      </w:r>
      <w:r w:rsidRPr="0068375F">
        <w:rPr>
          <w:rFonts w:ascii="Arial" w:hAnsi="Arial" w:cs="Arial"/>
          <w:sz w:val="21"/>
          <w:szCs w:val="21"/>
        </w:rPr>
        <w:t>, which shall be open to prospective bidders.</w:t>
      </w:r>
    </w:p>
    <w:p w14:paraId="602CD63E" w14:textId="77777777" w:rsidR="004532FB" w:rsidRPr="0068375F" w:rsidRDefault="004532FB" w:rsidP="004532FB">
      <w:pPr>
        <w:pStyle w:val="BodyText"/>
        <w:ind w:left="720"/>
        <w:rPr>
          <w:rFonts w:ascii="Arial" w:hAnsi="Arial" w:cs="Arial"/>
          <w:sz w:val="21"/>
          <w:szCs w:val="21"/>
        </w:rPr>
      </w:pPr>
    </w:p>
    <w:p w14:paraId="3323FDB6" w14:textId="77777777" w:rsidR="004532FB" w:rsidRPr="002449A4"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06C90C42" w14:textId="77777777" w:rsidR="004532FB" w:rsidRDefault="004532FB" w:rsidP="004532FB">
      <w:pPr>
        <w:pStyle w:val="BodyText"/>
        <w:rPr>
          <w:rFonts w:ascii="Arial" w:hAnsi="Arial" w:cs="Arial"/>
          <w:sz w:val="21"/>
          <w:szCs w:val="21"/>
        </w:rPr>
      </w:pPr>
    </w:p>
    <w:p w14:paraId="69E7EAFC" w14:textId="77777777" w:rsidR="004532FB" w:rsidRDefault="004532FB" w:rsidP="004532FB">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8"/>
      <w:bookmarkEnd w:id="12"/>
    </w:p>
    <w:p w14:paraId="012EA96E" w14:textId="77777777" w:rsidR="004532FB" w:rsidRDefault="004532FB" w:rsidP="004532FB">
      <w:pPr>
        <w:pStyle w:val="BodyText"/>
        <w:ind w:left="720"/>
        <w:rPr>
          <w:rFonts w:ascii="Arial" w:hAnsi="Arial" w:cs="Arial"/>
          <w:sz w:val="21"/>
          <w:szCs w:val="21"/>
        </w:rPr>
      </w:pPr>
    </w:p>
    <w:p w14:paraId="49612D0A" w14:textId="77777777" w:rsidR="004532FB" w:rsidRPr="00AF52FE"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3009B76B" w14:textId="77777777" w:rsidR="004532FB" w:rsidRPr="0068375F" w:rsidRDefault="004532FB" w:rsidP="004532FB">
      <w:pPr>
        <w:pStyle w:val="BodyText"/>
        <w:ind w:left="720"/>
        <w:rPr>
          <w:rFonts w:ascii="Arial" w:hAnsi="Arial" w:cs="Arial"/>
          <w:sz w:val="21"/>
          <w:szCs w:val="21"/>
        </w:rPr>
      </w:pPr>
    </w:p>
    <w:p w14:paraId="7FCE5517" w14:textId="77777777" w:rsidR="004532FB" w:rsidRPr="0068375F" w:rsidRDefault="004532FB" w:rsidP="004532FB">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29A34FAA" w14:textId="77777777" w:rsidR="004532FB" w:rsidRPr="0068375F" w:rsidRDefault="004532FB" w:rsidP="004532FB">
      <w:pPr>
        <w:pStyle w:val="BodyText"/>
        <w:ind w:left="720"/>
        <w:rPr>
          <w:rFonts w:ascii="Arial" w:hAnsi="Arial" w:cs="Arial"/>
          <w:sz w:val="21"/>
          <w:szCs w:val="21"/>
        </w:rPr>
      </w:pPr>
    </w:p>
    <w:p w14:paraId="7933ED6B" w14:textId="77777777" w:rsidR="004532FB" w:rsidRPr="0068375F" w:rsidRDefault="004532FB" w:rsidP="004532FB">
      <w:pPr>
        <w:pStyle w:val="BodyText"/>
        <w:ind w:left="720"/>
        <w:rPr>
          <w:rFonts w:ascii="Arial" w:hAnsi="Arial" w:cs="Arial"/>
          <w:b/>
          <w:sz w:val="21"/>
          <w:szCs w:val="21"/>
        </w:rPr>
      </w:pPr>
      <w:r>
        <w:rPr>
          <w:rFonts w:ascii="Arial" w:hAnsi="Arial" w:cs="Arial"/>
          <w:b/>
          <w:sz w:val="21"/>
          <w:szCs w:val="21"/>
        </w:rPr>
        <w:t>GERALDINE UBANA BANIQUED</w:t>
      </w:r>
    </w:p>
    <w:p w14:paraId="582818B5"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548B4E5"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BAC Chairman</w:t>
      </w:r>
    </w:p>
    <w:p w14:paraId="21506034" w14:textId="77777777" w:rsidR="004532FB" w:rsidRPr="0068375F" w:rsidRDefault="004532FB" w:rsidP="004532FB">
      <w:pPr>
        <w:pStyle w:val="BodyText"/>
        <w:ind w:left="720"/>
        <w:rPr>
          <w:rFonts w:ascii="Arial" w:hAnsi="Arial" w:cs="Arial"/>
          <w:sz w:val="21"/>
          <w:szCs w:val="21"/>
        </w:rPr>
      </w:pPr>
    </w:p>
    <w:p w14:paraId="23876869"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1CBD3C7E" w14:textId="77777777" w:rsidR="004532FB" w:rsidRPr="0068375F" w:rsidRDefault="004532FB" w:rsidP="004532FB">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22C67808"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Lingayen, Pangasinan</w:t>
      </w:r>
    </w:p>
    <w:p w14:paraId="32F77E9C"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5BC0E6E2" w14:textId="77777777" w:rsidR="004532FB" w:rsidRPr="0068375F" w:rsidRDefault="004532FB" w:rsidP="004532FB">
      <w:pPr>
        <w:pStyle w:val="BodyText"/>
        <w:ind w:left="720"/>
        <w:rPr>
          <w:rFonts w:ascii="Arial" w:hAnsi="Arial" w:cs="Arial"/>
          <w:sz w:val="21"/>
          <w:szCs w:val="21"/>
        </w:rPr>
      </w:pPr>
    </w:p>
    <w:p w14:paraId="12665F7F" w14:textId="77777777" w:rsidR="004532FB" w:rsidRPr="0068375F" w:rsidRDefault="004532FB" w:rsidP="004532FB">
      <w:pPr>
        <w:pStyle w:val="BodyText"/>
        <w:ind w:left="720"/>
        <w:rPr>
          <w:rFonts w:ascii="Arial" w:hAnsi="Arial" w:cs="Arial"/>
          <w:b/>
          <w:sz w:val="21"/>
          <w:szCs w:val="21"/>
        </w:rPr>
      </w:pPr>
      <w:r w:rsidRPr="0068375F">
        <w:rPr>
          <w:rFonts w:ascii="Arial" w:hAnsi="Arial" w:cs="Arial"/>
          <w:b/>
          <w:sz w:val="21"/>
          <w:szCs w:val="21"/>
        </w:rPr>
        <w:t>EDWIN B. MENDOZA</w:t>
      </w:r>
    </w:p>
    <w:p w14:paraId="7C6A341E"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Supervising Admin. Officer</w:t>
      </w:r>
    </w:p>
    <w:p w14:paraId="115E70D1"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BAC Secretariat</w:t>
      </w:r>
    </w:p>
    <w:p w14:paraId="6F1AB699" w14:textId="77777777" w:rsidR="004532FB" w:rsidRPr="0068375F" w:rsidRDefault="004532FB" w:rsidP="004532FB">
      <w:pPr>
        <w:pStyle w:val="BodyText"/>
        <w:ind w:left="720"/>
        <w:rPr>
          <w:rFonts w:ascii="Arial" w:hAnsi="Arial" w:cs="Arial"/>
          <w:sz w:val="21"/>
          <w:szCs w:val="21"/>
        </w:rPr>
      </w:pPr>
    </w:p>
    <w:p w14:paraId="6EDC0005"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BAC Office</w:t>
      </w:r>
    </w:p>
    <w:p w14:paraId="08F9A426"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6C1B01AC"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Lingayen, Pangasinan</w:t>
      </w:r>
    </w:p>
    <w:p w14:paraId="631C0257"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075 6327840</w:t>
      </w:r>
    </w:p>
    <w:p w14:paraId="4492C24F" w14:textId="77777777" w:rsidR="004532FB" w:rsidRPr="0068375F" w:rsidRDefault="004532FB" w:rsidP="004532FB">
      <w:pPr>
        <w:pStyle w:val="BodyText"/>
        <w:rPr>
          <w:rFonts w:ascii="Arial" w:hAnsi="Arial" w:cs="Arial"/>
          <w:sz w:val="21"/>
          <w:szCs w:val="21"/>
        </w:rPr>
      </w:pPr>
    </w:p>
    <w:p w14:paraId="4D353075" w14:textId="77777777" w:rsidR="004532FB" w:rsidRPr="0068375F" w:rsidRDefault="004532FB" w:rsidP="004532FB">
      <w:pPr>
        <w:pStyle w:val="BodyText"/>
        <w:ind w:left="720"/>
        <w:rPr>
          <w:rFonts w:ascii="Arial" w:hAnsi="Arial" w:cs="Arial"/>
          <w:sz w:val="21"/>
          <w:szCs w:val="21"/>
        </w:rPr>
      </w:pPr>
    </w:p>
    <w:p w14:paraId="0C90D797"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_________________________</w:t>
      </w:r>
    </w:p>
    <w:p w14:paraId="2BAB8297" w14:textId="77777777" w:rsidR="004532FB" w:rsidRPr="00886F54" w:rsidRDefault="004532FB" w:rsidP="004532FB">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6DBDA050"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1EBC0584" w14:textId="77777777" w:rsidR="004532FB" w:rsidRPr="0068375F" w:rsidRDefault="004532FB" w:rsidP="004532FB">
      <w:pPr>
        <w:pStyle w:val="BodyText"/>
        <w:ind w:left="720"/>
        <w:rPr>
          <w:rFonts w:ascii="Arial" w:hAnsi="Arial" w:cs="Arial"/>
          <w:sz w:val="21"/>
          <w:szCs w:val="21"/>
        </w:rPr>
      </w:pPr>
      <w:r w:rsidRPr="0068375F">
        <w:rPr>
          <w:rFonts w:ascii="Arial" w:hAnsi="Arial" w:cs="Arial"/>
          <w:sz w:val="21"/>
          <w:szCs w:val="21"/>
        </w:rPr>
        <w:t>BAC Chairman</w:t>
      </w:r>
    </w:p>
    <w:p w14:paraId="2E2C5486" w14:textId="77777777" w:rsidR="004532FB" w:rsidRPr="0068375F" w:rsidRDefault="004532FB" w:rsidP="004532FB">
      <w:pPr>
        <w:pStyle w:val="BodyText"/>
        <w:ind w:left="720"/>
        <w:rPr>
          <w:rFonts w:ascii="Arial" w:hAnsi="Arial" w:cs="Arial"/>
          <w:sz w:val="21"/>
          <w:szCs w:val="21"/>
        </w:rPr>
      </w:pPr>
    </w:p>
    <w:p w14:paraId="75B35BAA" w14:textId="77777777" w:rsidR="004532FB" w:rsidRPr="0068375F" w:rsidRDefault="004532FB" w:rsidP="004532FB">
      <w:pPr>
        <w:rPr>
          <w:rFonts w:ascii="Arial" w:hAnsi="Arial" w:cs="Arial"/>
          <w:sz w:val="21"/>
          <w:szCs w:val="21"/>
        </w:rPr>
      </w:pPr>
    </w:p>
    <w:p w14:paraId="7CD0716E" w14:textId="77777777" w:rsidR="004532FB" w:rsidRPr="0068375F" w:rsidRDefault="004532FB" w:rsidP="004532FB">
      <w:pPr>
        <w:rPr>
          <w:rFonts w:ascii="Arial" w:hAnsi="Arial" w:cs="Arial"/>
          <w:color w:val="0000FF"/>
          <w:sz w:val="21"/>
          <w:szCs w:val="21"/>
          <w:u w:val="single"/>
        </w:rPr>
      </w:pPr>
    </w:p>
    <w:p w14:paraId="639C7FB8" w14:textId="77777777" w:rsidR="004532FB" w:rsidRPr="0068375F" w:rsidRDefault="004532FB" w:rsidP="004532FB">
      <w:pPr>
        <w:rPr>
          <w:rFonts w:ascii="Arial" w:hAnsi="Arial" w:cs="Arial"/>
          <w:sz w:val="21"/>
          <w:szCs w:val="21"/>
        </w:rPr>
      </w:pPr>
    </w:p>
    <w:p w14:paraId="41C38FD6" w14:textId="77777777" w:rsidR="001E4301" w:rsidRPr="0068375F" w:rsidRDefault="001E4301" w:rsidP="001E4301">
      <w:pPr>
        <w:pStyle w:val="BodyText"/>
        <w:ind w:left="720"/>
        <w:rPr>
          <w:rFonts w:ascii="Arial" w:hAnsi="Arial" w:cs="Arial"/>
          <w:sz w:val="21"/>
          <w:szCs w:val="21"/>
        </w:rPr>
      </w:pPr>
    </w:p>
    <w:p w14:paraId="0671D3F2" w14:textId="77777777" w:rsidR="001E4301" w:rsidRPr="0068375F" w:rsidRDefault="001E4301" w:rsidP="001E4301">
      <w:pPr>
        <w:rPr>
          <w:rFonts w:ascii="Arial" w:hAnsi="Arial" w:cs="Arial"/>
          <w:sz w:val="21"/>
          <w:szCs w:val="21"/>
        </w:rPr>
      </w:pPr>
    </w:p>
    <w:p w14:paraId="57DC9E2A" w14:textId="77777777" w:rsidR="001E4301" w:rsidRPr="0068375F" w:rsidRDefault="001E4301" w:rsidP="001E4301">
      <w:pPr>
        <w:rPr>
          <w:rFonts w:ascii="Arial" w:hAnsi="Arial" w:cs="Arial"/>
          <w:color w:val="0000FF"/>
          <w:sz w:val="21"/>
          <w:szCs w:val="21"/>
          <w:u w:val="single"/>
        </w:rPr>
      </w:pPr>
    </w:p>
    <w:p w14:paraId="45AC9463" w14:textId="77777777" w:rsidR="001E4301" w:rsidRPr="0068375F" w:rsidRDefault="001E4301" w:rsidP="001E4301">
      <w:pPr>
        <w:rPr>
          <w:rFonts w:ascii="Arial" w:hAnsi="Arial" w:cs="Arial"/>
          <w:sz w:val="21"/>
          <w:szCs w:val="21"/>
        </w:rPr>
      </w:pPr>
    </w:p>
    <w:p w14:paraId="063B63DA" w14:textId="7CE5CD7C" w:rsidR="00512D95" w:rsidRPr="0068375F" w:rsidRDefault="00512D95" w:rsidP="00512D95">
      <w:pPr>
        <w:pStyle w:val="BodyText"/>
        <w:ind w:left="720"/>
        <w:rPr>
          <w:rFonts w:ascii="Arial" w:hAnsi="Arial" w:cs="Arial"/>
          <w:sz w:val="21"/>
          <w:szCs w:val="21"/>
        </w:rPr>
      </w:pPr>
    </w:p>
    <w:p w14:paraId="2F725479" w14:textId="1FC8871F" w:rsidR="00512D95" w:rsidRDefault="00512D95" w:rsidP="00512D95">
      <w:pPr>
        <w:pStyle w:val="BodyText"/>
        <w:ind w:left="720"/>
        <w:rPr>
          <w:rFonts w:ascii="Arial" w:hAnsi="Arial" w:cs="Arial"/>
          <w:sz w:val="21"/>
          <w:szCs w:val="21"/>
        </w:rPr>
      </w:pPr>
    </w:p>
    <w:p w14:paraId="6AF4780A" w14:textId="3FAE1849" w:rsidR="004532FB" w:rsidRDefault="004532FB" w:rsidP="00512D95">
      <w:pPr>
        <w:pStyle w:val="BodyText"/>
        <w:ind w:left="720"/>
        <w:rPr>
          <w:rFonts w:ascii="Arial" w:hAnsi="Arial" w:cs="Arial"/>
          <w:sz w:val="21"/>
          <w:szCs w:val="21"/>
        </w:rPr>
      </w:pPr>
    </w:p>
    <w:p w14:paraId="14E67DB7" w14:textId="77777777" w:rsidR="004532FB" w:rsidRPr="0068375F" w:rsidRDefault="004532FB" w:rsidP="00512D95">
      <w:pPr>
        <w:pStyle w:val="BodyText"/>
        <w:ind w:left="720"/>
        <w:rPr>
          <w:rFonts w:ascii="Arial" w:hAnsi="Arial" w:cs="Arial"/>
          <w:sz w:val="21"/>
          <w:szCs w:val="21"/>
        </w:rPr>
      </w:pPr>
    </w:p>
    <w:p w14:paraId="501F7B3A" w14:textId="77777777" w:rsidR="00512D95" w:rsidRPr="0068375F" w:rsidRDefault="00512D95" w:rsidP="00512D95">
      <w:pPr>
        <w:rPr>
          <w:rFonts w:ascii="Arial" w:hAnsi="Arial" w:cs="Arial"/>
          <w:sz w:val="21"/>
          <w:szCs w:val="21"/>
        </w:rPr>
      </w:pPr>
    </w:p>
    <w:p w14:paraId="62C72EAB" w14:textId="77777777" w:rsidR="00512D95" w:rsidRPr="0068375F" w:rsidRDefault="00512D95" w:rsidP="00512D95">
      <w:pPr>
        <w:rPr>
          <w:rFonts w:ascii="Arial" w:hAnsi="Arial" w:cs="Arial"/>
          <w:color w:val="0000FF"/>
          <w:sz w:val="21"/>
          <w:szCs w:val="21"/>
          <w:u w:val="single"/>
        </w:rPr>
      </w:pPr>
    </w:p>
    <w:p w14:paraId="0E5644B8" w14:textId="77777777" w:rsidR="00512D95" w:rsidRPr="0068375F" w:rsidRDefault="00512D95" w:rsidP="00512D95">
      <w:pPr>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lastRenderedPageBreak/>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14" w:name="_heading=h.17dp8vu" w:colFirst="0" w:colLast="0"/>
            <w:bookmarkEnd w:id="14"/>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15" w:name="_Toc46916347"/>
      <w:r w:rsidRPr="006073D7">
        <w:lastRenderedPageBreak/>
        <w:t>Scope of Bid</w:t>
      </w:r>
      <w:bookmarkEnd w:id="15"/>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w:t>
      </w:r>
      <w:proofErr w:type="gramStart"/>
      <w:r w:rsidRPr="006073D7">
        <w:rPr>
          <w:i/>
          <w:color w:val="000000"/>
        </w:rPr>
        <w:t xml:space="preserve">name] </w:t>
      </w:r>
      <w:r w:rsidRPr="006073D7">
        <w:rPr>
          <w:color w:val="000000"/>
        </w:rPr>
        <w:t xml:space="preserve"> wishes</w:t>
      </w:r>
      <w:proofErr w:type="gramEnd"/>
      <w:r w:rsidRPr="006073D7">
        <w:rPr>
          <w:color w:val="000000"/>
        </w:rPr>
        <w:t xml:space="preserve">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w:t>
      </w:r>
      <w:proofErr w:type="gramStart"/>
      <w:r w:rsidRPr="006073D7">
        <w:t>”)  is</w:t>
      </w:r>
      <w:proofErr w:type="gramEnd"/>
      <w:r w:rsidRPr="006073D7">
        <w:t xml:space="preserve">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6" w:name="_Toc46916348"/>
      <w:r w:rsidRPr="006073D7">
        <w:t>Funding Information</w:t>
      </w:r>
      <w:bookmarkEnd w:id="16"/>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w:t>
      </w:r>
      <w:proofErr w:type="spellStart"/>
      <w:r w:rsidRPr="006073D7">
        <w:rPr>
          <w:color w:val="000000"/>
        </w:rPr>
        <w:t>Sanggunian</w:t>
      </w:r>
      <w:proofErr w:type="spellEnd"/>
      <w:r w:rsidRPr="006073D7">
        <w:rPr>
          <w:color w:val="000000"/>
        </w:rPr>
        <w:t xml:space="preserve">.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7" w:name="_Toc46916349"/>
      <w:r w:rsidRPr="006073D7">
        <w:t>Bidding Requirements</w:t>
      </w:r>
      <w:bookmarkEnd w:id="17"/>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w:t>
      </w:r>
      <w:proofErr w:type="gramStart"/>
      <w:r w:rsidRPr="006073D7">
        <w:rPr>
          <w:b/>
        </w:rPr>
        <w:t>IB</w:t>
      </w:r>
      <w:r w:rsidRPr="006073D7">
        <w:t xml:space="preserve">  by</w:t>
      </w:r>
      <w:proofErr w:type="gramEnd"/>
      <w:r w:rsidRPr="006073D7">
        <w:t xml:space="preserve">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8"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9" w:name="_Toc46916351"/>
      <w:r w:rsidRPr="006073D7">
        <w:t>Corrupt, Fraudulent, Collusive, and Coercive Practices</w:t>
      </w:r>
      <w:bookmarkEnd w:id="19"/>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20" w:name="_Toc46916352"/>
      <w:r w:rsidRPr="006073D7">
        <w:t>Eligible Bidders</w:t>
      </w:r>
      <w:bookmarkEnd w:id="20"/>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21" w:name="_Toc46916353"/>
      <w:r w:rsidRPr="006073D7">
        <w:t>Origin of Goods</w:t>
      </w:r>
      <w:bookmarkEnd w:id="21"/>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22" w:name="_Toc46916354"/>
      <w:r w:rsidRPr="006073D7">
        <w:t>Subcontracts</w:t>
      </w:r>
      <w:bookmarkEnd w:id="22"/>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23" w:name="_heading=h.z337ya" w:colFirst="0" w:colLast="0"/>
      <w:bookmarkEnd w:id="23"/>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 xml:space="preserve">Section 23.4 </w:t>
      </w:r>
      <w:proofErr w:type="gramStart"/>
      <w:r w:rsidRPr="006073D7">
        <w:t>of  the</w:t>
      </w:r>
      <w:proofErr w:type="gramEnd"/>
      <w:r w:rsidRPr="006073D7">
        <w:t xml:space="preserv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24" w:name="_heading=h.3j2qqm3" w:colFirst="0" w:colLast="0"/>
      <w:bookmarkEnd w:id="24"/>
    </w:p>
    <w:p w14:paraId="7016499B" w14:textId="77777777" w:rsidR="00E65417" w:rsidRPr="006073D7" w:rsidRDefault="00E65417" w:rsidP="00E65417">
      <w:pPr>
        <w:pStyle w:val="Heading2"/>
        <w:numPr>
          <w:ilvl w:val="0"/>
          <w:numId w:val="18"/>
        </w:numPr>
        <w:spacing w:before="0"/>
        <w:ind w:hanging="540"/>
        <w:jc w:val="left"/>
      </w:pPr>
      <w:bookmarkStart w:id="25" w:name="_Toc46916355"/>
      <w:r w:rsidRPr="006073D7">
        <w:t>Pre-Bid Conference</w:t>
      </w:r>
      <w:bookmarkEnd w:id="25"/>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6" w:name="_Toc46916356"/>
      <w:r w:rsidRPr="006073D7">
        <w:t>Clarification and Amendment of Bidding Documents</w:t>
      </w:r>
      <w:bookmarkEnd w:id="26"/>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7" w:name="_Toc46916357"/>
      <w:r w:rsidRPr="006073D7">
        <w:t>Documents comprising the Bid: Eligibility and Technical Components</w:t>
      </w:r>
      <w:bookmarkEnd w:id="27"/>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8" w:name="_heading=h.3whwml4" w:colFirst="0" w:colLast="0"/>
      <w:bookmarkEnd w:id="28"/>
      <w:proofErr w:type="gramStart"/>
      <w:r w:rsidRPr="006073D7">
        <w:t>The  first</w:t>
      </w:r>
      <w:proofErr w:type="gramEnd"/>
      <w:r w:rsidRPr="006073D7">
        <w:t xml:space="preserve">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30" w:name="_heading=h.lc3ibcwac7k7" w:colFirst="0" w:colLast="0"/>
      <w:bookmarkEnd w:id="30"/>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31" w:name="_heading=h.11rv89k581xh" w:colFirst="0" w:colLast="0"/>
      <w:bookmarkEnd w:id="31"/>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32" w:name="_heading=h.tih12ve8tat" w:colFirst="0" w:colLast="0"/>
      <w:bookmarkEnd w:id="32"/>
    </w:p>
    <w:p w14:paraId="5F4C7186" w14:textId="77777777" w:rsidR="00E65417" w:rsidRPr="006073D7" w:rsidRDefault="00E65417" w:rsidP="00E65417">
      <w:pPr>
        <w:pStyle w:val="Heading2"/>
        <w:numPr>
          <w:ilvl w:val="0"/>
          <w:numId w:val="18"/>
        </w:numPr>
        <w:spacing w:before="0"/>
        <w:ind w:hanging="540"/>
        <w:jc w:val="left"/>
      </w:pPr>
      <w:bookmarkStart w:id="33" w:name="_Toc46916358"/>
      <w:r w:rsidRPr="006073D7">
        <w:t>Documents comprising the Bid: Financial Component</w:t>
      </w:r>
      <w:bookmarkEnd w:id="33"/>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proofErr w:type="gramStart"/>
      <w:r w:rsidRPr="006073D7">
        <w:rPr>
          <w:color w:val="000000"/>
        </w:rPr>
        <w:t>T</w:t>
      </w:r>
      <w:r w:rsidRPr="006073D7">
        <w:t>he  second</w:t>
      </w:r>
      <w:proofErr w:type="gramEnd"/>
      <w:r w:rsidRPr="006073D7">
        <w:t xml:space="preserve">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[Include if Framework Agreement will be used</w:t>
      </w:r>
      <w:proofErr w:type="gramStart"/>
      <w:r w:rsidRPr="006073D7">
        <w:rPr>
          <w:i/>
        </w:rPr>
        <w:t xml:space="preserve">:]  </w:t>
      </w:r>
      <w:r w:rsidRPr="006073D7">
        <w:t>Financial</w:t>
      </w:r>
      <w:proofErr w:type="gramEnd"/>
      <w:r w:rsidRPr="006073D7">
        <w:t xml:space="preserve"> proposals for single or multi-year Framework Agreement  shall be submitted before the deadline of submission of bids as prescribed in the </w:t>
      </w:r>
      <w:r w:rsidRPr="006073D7">
        <w:rPr>
          <w:b/>
        </w:rPr>
        <w:t>IB</w:t>
      </w:r>
      <w:r w:rsidRPr="006073D7">
        <w:t xml:space="preserve">. For multi-year Framework Agreement, evaluation of the financial proposal during this stage is for purposes of determining eligibility and </w:t>
      </w:r>
      <w:proofErr w:type="gramStart"/>
      <w:r w:rsidRPr="006073D7">
        <w:t>whether  or</w:t>
      </w:r>
      <w:proofErr w:type="gramEnd"/>
      <w:r w:rsidRPr="006073D7">
        <w:t xml:space="preserve">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34" w:name="_Toc46916359"/>
      <w:r w:rsidRPr="006073D7">
        <w:t>Bid Prices</w:t>
      </w:r>
      <w:bookmarkEnd w:id="34"/>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proofErr w:type="gramStart"/>
      <w:r w:rsidRPr="006073D7">
        <w:t>For  Framework</w:t>
      </w:r>
      <w:proofErr w:type="gramEnd"/>
      <w:r w:rsidRPr="006073D7">
        <w:t xml:space="preserve">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w:t>
      </w:r>
      <w:proofErr w:type="gramStart"/>
      <w:r w:rsidRPr="006073D7">
        <w:t>The  price</w:t>
      </w:r>
      <w:proofErr w:type="gramEnd"/>
      <w:r w:rsidRPr="006073D7">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35" w:name="_Toc46916360"/>
      <w:r w:rsidRPr="006073D7">
        <w:t>Bid and Payment Currencies</w:t>
      </w:r>
      <w:bookmarkEnd w:id="35"/>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7" w:name="_Toc46916361"/>
      <w:r w:rsidRPr="006073D7">
        <w:t>Bid Security</w:t>
      </w:r>
      <w:bookmarkEnd w:id="37"/>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[Include if Framework Agreement will be used</w:t>
      </w:r>
      <w:proofErr w:type="gramStart"/>
      <w:r w:rsidRPr="006073D7">
        <w:rPr>
          <w:i/>
        </w:rPr>
        <w:t xml:space="preserve">:]  </w:t>
      </w:r>
      <w:r w:rsidRPr="006073D7">
        <w:t>In</w:t>
      </w:r>
      <w:proofErr w:type="gramEnd"/>
      <w:r w:rsidRPr="006073D7">
        <w:t xml:space="preserve">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8" w:name="_Toc46916362"/>
      <w:r w:rsidRPr="006073D7">
        <w:t>Sealing and Marking of Bids</w:t>
      </w:r>
      <w:bookmarkEnd w:id="38"/>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9" w:name="_Toc46916363"/>
      <w:r w:rsidRPr="006073D7">
        <w:t>Deadline for Submission of Bids</w:t>
      </w:r>
      <w:bookmarkEnd w:id="39"/>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40" w:name="_Toc46916364"/>
      <w:r w:rsidRPr="006073D7">
        <w:t>Opening and Preliminary Examination of Bids</w:t>
      </w:r>
      <w:bookmarkEnd w:id="40"/>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42" w:name="_Toc46916365"/>
      <w:r w:rsidRPr="006073D7">
        <w:t>Domestic Preference</w:t>
      </w:r>
      <w:bookmarkEnd w:id="42"/>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[Include if Framework Agreement will be used</w:t>
      </w:r>
      <w:proofErr w:type="gramStart"/>
      <w:r w:rsidRPr="006073D7">
        <w:rPr>
          <w:i/>
        </w:rPr>
        <w:t xml:space="preserve">:]  </w:t>
      </w:r>
      <w:r w:rsidRPr="006073D7">
        <w:t>For</w:t>
      </w:r>
      <w:proofErr w:type="gramEnd"/>
      <w:r w:rsidRPr="006073D7">
        <w:t xml:space="preserve">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43" w:name="_Toc46916366"/>
      <w:r w:rsidRPr="006073D7">
        <w:t>Detailed Evaluation and Comparison of Bids</w:t>
      </w:r>
      <w:bookmarkEnd w:id="43"/>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w:t>
      </w:r>
      <w:proofErr w:type="gramStart"/>
      <w:r w:rsidRPr="006073D7">
        <w:rPr>
          <w:color w:val="000000"/>
        </w:rPr>
        <w:t xml:space="preserve">bids,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 xml:space="preserve">Option 3 </w:t>
      </w:r>
      <w:proofErr w:type="gramStart"/>
      <w:r w:rsidRPr="006073D7">
        <w:rPr>
          <w:color w:val="000000"/>
        </w:rPr>
        <w:t>-  One</w:t>
      </w:r>
      <w:proofErr w:type="gramEnd"/>
      <w:r w:rsidRPr="006073D7">
        <w:rPr>
          <w:color w:val="000000"/>
        </w:rPr>
        <w:t xml:space="preserv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44" w:name="_heading=h.2grqrue" w:colFirst="0" w:colLast="0"/>
      <w:bookmarkEnd w:id="44"/>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6073D7">
        <w:t>for  all</w:t>
      </w:r>
      <w:proofErr w:type="gramEnd"/>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45" w:name="_heading=h.6m5571abfd5v" w:colFirst="0" w:colLast="0"/>
      <w:bookmarkEnd w:id="45"/>
    </w:p>
    <w:p w14:paraId="5DE0DFC8" w14:textId="77777777" w:rsidR="00E65417" w:rsidRPr="006073D7" w:rsidRDefault="00E65417" w:rsidP="00E65417">
      <w:pPr>
        <w:pStyle w:val="Heading2"/>
        <w:numPr>
          <w:ilvl w:val="0"/>
          <w:numId w:val="18"/>
        </w:numPr>
        <w:spacing w:before="0"/>
        <w:ind w:left="720" w:hanging="540"/>
        <w:jc w:val="left"/>
      </w:pPr>
      <w:bookmarkStart w:id="46" w:name="_Toc46916367"/>
      <w:r w:rsidRPr="006073D7">
        <w:t>Post-Qualification</w:t>
      </w:r>
      <w:bookmarkEnd w:id="46"/>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 xml:space="preserve">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7" w:name="_Toc46916368"/>
      <w:r w:rsidRPr="006073D7">
        <w:t>Signing of the Contract</w:t>
      </w:r>
      <w:bookmarkEnd w:id="47"/>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8" w:name="_Toc46916369"/>
      <w:r w:rsidRPr="006073D7">
        <w:lastRenderedPageBreak/>
        <w:t>Section III. Bid Data Sheet</w:t>
      </w:r>
      <w:bookmarkEnd w:id="48"/>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9" w:name="_heading=h.4f1mdlm" w:colFirst="0" w:colLast="0"/>
            <w:bookmarkEnd w:id="49"/>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50" w:name="_heading=h.2u6wntf" w:colFirst="0" w:colLast="0"/>
      <w:bookmarkEnd w:id="50"/>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37F945D4" w:rsidR="00E65417" w:rsidRPr="00F005FE" w:rsidRDefault="004532FB" w:rsidP="00F56664">
            <w:pPr>
              <w:numPr>
                <w:ilvl w:val="0"/>
                <w:numId w:val="38"/>
              </w:numPr>
              <w:ind w:left="713" w:hanging="425"/>
              <w:rPr>
                <w:i/>
                <w:iCs/>
              </w:rPr>
            </w:pPr>
            <w:r>
              <w:rPr>
                <w:i/>
                <w:iCs/>
              </w:rPr>
              <w:t>Drugs and Medicines</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1AD04A57"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4532FB" w:rsidRPr="004532FB">
              <w:rPr>
                <w:b/>
                <w:bCs/>
                <w:u w:val="single"/>
              </w:rPr>
              <w:t>21,826.16</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7E480B03"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4532FB" w:rsidRPr="004532FB">
              <w:rPr>
                <w:b/>
                <w:bCs/>
                <w:u w:val="single"/>
              </w:rPr>
              <w:t>54,565.40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51" w:name="_Toc46916370"/>
      <w:r w:rsidRPr="006073D7">
        <w:lastRenderedPageBreak/>
        <w:t>Section IV. General Conditions of Contract</w:t>
      </w:r>
      <w:bookmarkEnd w:id="51"/>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52" w:name="_heading=h.3tbugp1" w:colFirst="0" w:colLast="0"/>
            <w:bookmarkEnd w:id="52"/>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53" w:name="_Toc46916371"/>
      <w:r w:rsidRPr="006073D7">
        <w:lastRenderedPageBreak/>
        <w:t>Scope of Contract</w:t>
      </w:r>
      <w:bookmarkEnd w:id="53"/>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6073D7">
        <w:t>as  the</w:t>
      </w:r>
      <w:proofErr w:type="gramEnd"/>
      <w:r w:rsidRPr="006073D7">
        <w:t xml:space="preserv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 xml:space="preserve">For a single-year Framework Agreement, prices charged by the Supplier for Goods delivered and/or services performed under a Call-Off shall not vary from </w:t>
      </w:r>
      <w:proofErr w:type="gramStart"/>
      <w:r w:rsidRPr="006073D7">
        <w:t>the  prices</w:t>
      </w:r>
      <w:proofErr w:type="gramEnd"/>
      <w:r w:rsidRPr="006073D7">
        <w:t xml:space="preserve">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w:t>
      </w:r>
      <w:proofErr w:type="gramStart"/>
      <w:r w:rsidRPr="006073D7">
        <w:t>from  the</w:t>
      </w:r>
      <w:proofErr w:type="gramEnd"/>
      <w:r w:rsidRPr="006073D7">
        <w:t xml:space="preserv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6" w:name="_Toc46916373"/>
      <w:r w:rsidRPr="006073D7">
        <w:t>Performance Security</w:t>
      </w:r>
      <w:bookmarkEnd w:id="56"/>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7" w:name="_Toc46916374"/>
      <w:r w:rsidRPr="006073D7">
        <w:lastRenderedPageBreak/>
        <w:t>Inspection and Tests</w:t>
      </w:r>
      <w:bookmarkEnd w:id="57"/>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8" w:name="_Toc46916375"/>
      <w:r w:rsidRPr="006073D7">
        <w:t>Warranty</w:t>
      </w:r>
      <w:bookmarkEnd w:id="58"/>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9" w:name="_Toc46916376"/>
      <w:r w:rsidRPr="006073D7">
        <w:t>Liability of the Supplier</w:t>
      </w:r>
      <w:bookmarkEnd w:id="59"/>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60" w:name="_Toc46916377"/>
      <w:r w:rsidRPr="006073D7">
        <w:lastRenderedPageBreak/>
        <w:t>Section V. Special Conditions of Contract</w:t>
      </w:r>
      <w:bookmarkEnd w:id="60"/>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61" w:name="_heading=h.3l18frh" w:colFirst="0" w:colLast="0"/>
            <w:bookmarkEnd w:id="61"/>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63" w:name="_Toc46916378"/>
      <w:r w:rsidRPr="006073D7">
        <w:lastRenderedPageBreak/>
        <w:t>Section VI. Schedule of Requirements</w:t>
      </w:r>
      <w:bookmarkEnd w:id="63"/>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49153381" w:rsidR="00E65417" w:rsidRPr="005471C2" w:rsidRDefault="00A75B34" w:rsidP="00961F07">
            <w:pPr>
              <w:jc w:val="left"/>
            </w:pPr>
            <w:r>
              <w:t>Phenytoin</w:t>
            </w:r>
          </w:p>
        </w:tc>
        <w:tc>
          <w:tcPr>
            <w:tcW w:w="786" w:type="pct"/>
          </w:tcPr>
          <w:p w14:paraId="5FC3D194" w14:textId="1328C927" w:rsidR="00E65417" w:rsidRPr="005471C2" w:rsidRDefault="00A75B34" w:rsidP="00B95A79">
            <w:pPr>
              <w:jc w:val="center"/>
            </w:pPr>
            <w:r>
              <w:t>200 amp.</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A75B34">
            <w:pPr>
              <w:pStyle w:val="ListParagraph"/>
              <w:numPr>
                <w:ilvl w:val="0"/>
                <w:numId w:val="48"/>
              </w:numPr>
            </w:pPr>
          </w:p>
        </w:tc>
        <w:tc>
          <w:tcPr>
            <w:tcW w:w="1667" w:type="pct"/>
          </w:tcPr>
          <w:p w14:paraId="11087F97" w14:textId="3051D6FF" w:rsidR="00E65417" w:rsidRPr="005471C2" w:rsidRDefault="00A75B34" w:rsidP="00BA50F5">
            <w:pPr>
              <w:jc w:val="left"/>
            </w:pPr>
            <w:r>
              <w:t>Hyoscine-n-</w:t>
            </w:r>
            <w:proofErr w:type="spellStart"/>
            <w:r>
              <w:t>butylbromide</w:t>
            </w:r>
            <w:proofErr w:type="spellEnd"/>
          </w:p>
        </w:tc>
        <w:tc>
          <w:tcPr>
            <w:tcW w:w="786" w:type="pct"/>
          </w:tcPr>
          <w:p w14:paraId="0E138964" w14:textId="7E93896B" w:rsidR="00E65417" w:rsidRPr="005471C2" w:rsidRDefault="00A75B34" w:rsidP="00B95A79">
            <w:pPr>
              <w:jc w:val="center"/>
            </w:pPr>
            <w:r>
              <w:t>10,000 amp.</w:t>
            </w: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A75B34">
            <w:pPr>
              <w:pStyle w:val="ListParagraph"/>
              <w:numPr>
                <w:ilvl w:val="0"/>
                <w:numId w:val="48"/>
              </w:numPr>
            </w:pPr>
          </w:p>
        </w:tc>
        <w:tc>
          <w:tcPr>
            <w:tcW w:w="1667" w:type="pct"/>
          </w:tcPr>
          <w:p w14:paraId="0A0ED727" w14:textId="7B830B45" w:rsidR="00E65417" w:rsidRPr="005471C2" w:rsidRDefault="00A75B34" w:rsidP="00B95A79">
            <w:pPr>
              <w:jc w:val="left"/>
            </w:pPr>
            <w:r>
              <w:t>Oxytocin</w:t>
            </w:r>
          </w:p>
        </w:tc>
        <w:tc>
          <w:tcPr>
            <w:tcW w:w="786" w:type="pct"/>
          </w:tcPr>
          <w:p w14:paraId="7660A4C4" w14:textId="4F318AAF" w:rsidR="00E65417" w:rsidRPr="005471C2" w:rsidRDefault="00A75B34" w:rsidP="00B95A79">
            <w:pPr>
              <w:jc w:val="center"/>
            </w:pPr>
            <w:r>
              <w:t>5,000 amp.</w:t>
            </w: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64" w:name="_Toc46916379"/>
      <w:r w:rsidRPr="006073D7">
        <w:rPr>
          <w:b w:val="0"/>
          <w:sz w:val="24"/>
          <w:szCs w:val="24"/>
        </w:rPr>
        <w:t>[Use this form for Framework Agreement:]</w:t>
      </w:r>
      <w:bookmarkEnd w:id="64"/>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65" w:name="_heading=h.xqk3jgsn0fl8" w:colFirst="0" w:colLast="0"/>
      <w:bookmarkStart w:id="66" w:name="_Toc46916380"/>
      <w:bookmarkEnd w:id="65"/>
      <w:r w:rsidRPr="006073D7">
        <w:t>Framework Agreement List</w:t>
      </w:r>
      <w:bookmarkEnd w:id="66"/>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7" w:name="_heading=h.nwqcunqj4pt3" w:colFirst="0" w:colLast="0"/>
      <w:bookmarkStart w:id="68" w:name="_Toc46916381"/>
      <w:bookmarkEnd w:id="67"/>
      <w:r w:rsidRPr="006073D7">
        <w:t>Section VII. Technical Specifications</w:t>
      </w:r>
      <w:bookmarkEnd w:id="68"/>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9" w:name="_heading=h.1egqt2p" w:colFirst="0" w:colLast="0"/>
            <w:bookmarkEnd w:id="69"/>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proofErr w:type="gramStart"/>
            <w:r w:rsidRPr="006073D7">
              <w:rPr>
                <w:i/>
              </w:rPr>
              <w:t>e.g.</w:t>
            </w:r>
            <w:proofErr w:type="gramEnd"/>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A75B34" w:rsidRPr="006073D7" w14:paraId="31E952EB" w14:textId="77777777" w:rsidTr="00F56664">
        <w:trPr>
          <w:jc w:val="center"/>
        </w:trPr>
        <w:tc>
          <w:tcPr>
            <w:tcW w:w="988" w:type="dxa"/>
          </w:tcPr>
          <w:p w14:paraId="71AE19B9" w14:textId="77777777" w:rsidR="00A75B34" w:rsidRPr="006073D7" w:rsidRDefault="00A75B34" w:rsidP="00A75B34">
            <w:pPr>
              <w:pStyle w:val="ListParagraph"/>
              <w:numPr>
                <w:ilvl w:val="0"/>
                <w:numId w:val="40"/>
              </w:numPr>
            </w:pPr>
          </w:p>
        </w:tc>
        <w:tc>
          <w:tcPr>
            <w:tcW w:w="3301" w:type="dxa"/>
          </w:tcPr>
          <w:p w14:paraId="3F1DD1EE" w14:textId="2FED9448" w:rsidR="00A75B34" w:rsidRPr="00265D95" w:rsidRDefault="00A75B34" w:rsidP="00A75B34">
            <w:pPr>
              <w:jc w:val="left"/>
              <w:rPr>
                <w:b/>
                <w:bCs/>
              </w:rPr>
            </w:pPr>
            <w:r>
              <w:t>Phenytoin</w:t>
            </w:r>
          </w:p>
        </w:tc>
        <w:tc>
          <w:tcPr>
            <w:tcW w:w="4351" w:type="dxa"/>
          </w:tcPr>
          <w:p w14:paraId="760B7DE3" w14:textId="77777777" w:rsidR="00A75B34" w:rsidRPr="006073D7" w:rsidRDefault="00A75B34" w:rsidP="00A75B34"/>
        </w:tc>
      </w:tr>
      <w:tr w:rsidR="00A75B34" w:rsidRPr="006073D7" w14:paraId="2632EDFB" w14:textId="77777777" w:rsidTr="00F56664">
        <w:trPr>
          <w:jc w:val="center"/>
        </w:trPr>
        <w:tc>
          <w:tcPr>
            <w:tcW w:w="988" w:type="dxa"/>
          </w:tcPr>
          <w:p w14:paraId="5F1ED91C" w14:textId="4F706649" w:rsidR="00A75B34" w:rsidRPr="006073D7" w:rsidRDefault="00A75B34" w:rsidP="00A75B34">
            <w:pPr>
              <w:pStyle w:val="ListParagraph"/>
              <w:numPr>
                <w:ilvl w:val="0"/>
                <w:numId w:val="40"/>
              </w:numPr>
            </w:pPr>
          </w:p>
        </w:tc>
        <w:tc>
          <w:tcPr>
            <w:tcW w:w="3301" w:type="dxa"/>
          </w:tcPr>
          <w:p w14:paraId="3D7BFBE9" w14:textId="485E6646" w:rsidR="00A75B34" w:rsidRPr="006073D7" w:rsidRDefault="00A75B34" w:rsidP="00A75B34">
            <w:pPr>
              <w:jc w:val="left"/>
            </w:pPr>
            <w:r>
              <w:t>Hyoscine-n-</w:t>
            </w:r>
            <w:proofErr w:type="spellStart"/>
            <w:r>
              <w:t>butylbromide</w:t>
            </w:r>
            <w:proofErr w:type="spellEnd"/>
          </w:p>
        </w:tc>
        <w:tc>
          <w:tcPr>
            <w:tcW w:w="4351" w:type="dxa"/>
          </w:tcPr>
          <w:p w14:paraId="587BF355" w14:textId="77777777" w:rsidR="00A75B34" w:rsidRPr="006073D7" w:rsidRDefault="00A75B34" w:rsidP="00A75B34"/>
        </w:tc>
      </w:tr>
      <w:tr w:rsidR="00A75B34" w:rsidRPr="006073D7" w14:paraId="3866E8FD" w14:textId="77777777" w:rsidTr="00F56664">
        <w:trPr>
          <w:jc w:val="center"/>
        </w:trPr>
        <w:tc>
          <w:tcPr>
            <w:tcW w:w="988" w:type="dxa"/>
          </w:tcPr>
          <w:p w14:paraId="0AE07175" w14:textId="77777777" w:rsidR="00A75B34" w:rsidRPr="002A78B2" w:rsidRDefault="00A75B34" w:rsidP="00A75B34">
            <w:pPr>
              <w:pStyle w:val="ListParagraph"/>
              <w:numPr>
                <w:ilvl w:val="0"/>
                <w:numId w:val="40"/>
              </w:numPr>
            </w:pPr>
          </w:p>
        </w:tc>
        <w:tc>
          <w:tcPr>
            <w:tcW w:w="3301" w:type="dxa"/>
          </w:tcPr>
          <w:p w14:paraId="5F6D3C9D" w14:textId="68865648" w:rsidR="00A75B34" w:rsidRPr="002A78B2" w:rsidRDefault="00A75B34" w:rsidP="00A75B34">
            <w:pPr>
              <w:jc w:val="left"/>
            </w:pPr>
            <w:r>
              <w:t>Oxytocin</w:t>
            </w:r>
          </w:p>
        </w:tc>
        <w:tc>
          <w:tcPr>
            <w:tcW w:w="4351" w:type="dxa"/>
          </w:tcPr>
          <w:p w14:paraId="7CBB4C31" w14:textId="77777777" w:rsidR="00A75B34" w:rsidRPr="006073D7" w:rsidRDefault="00A75B34" w:rsidP="00A75B34"/>
        </w:tc>
      </w:tr>
      <w:tr w:rsidR="00A75B34" w:rsidRPr="006073D7" w14:paraId="62D23F45" w14:textId="77777777" w:rsidTr="00F56664">
        <w:trPr>
          <w:trHeight w:val="488"/>
          <w:jc w:val="center"/>
        </w:trPr>
        <w:tc>
          <w:tcPr>
            <w:tcW w:w="988" w:type="dxa"/>
          </w:tcPr>
          <w:p w14:paraId="5F050F0B" w14:textId="77777777" w:rsidR="00A75B34" w:rsidRPr="002A78B2" w:rsidRDefault="00A75B34" w:rsidP="00A75B34">
            <w:pPr>
              <w:ind w:left="360"/>
            </w:pPr>
          </w:p>
        </w:tc>
        <w:tc>
          <w:tcPr>
            <w:tcW w:w="3301" w:type="dxa"/>
          </w:tcPr>
          <w:p w14:paraId="601F10BB" w14:textId="1BF772C1" w:rsidR="00A75B34" w:rsidRPr="002A78B2" w:rsidRDefault="00A75B34" w:rsidP="00A75B34">
            <w:pPr>
              <w:jc w:val="left"/>
            </w:pPr>
          </w:p>
        </w:tc>
        <w:tc>
          <w:tcPr>
            <w:tcW w:w="4351" w:type="dxa"/>
          </w:tcPr>
          <w:p w14:paraId="22D1B9D1" w14:textId="77777777" w:rsidR="00A75B34" w:rsidRPr="006073D7" w:rsidRDefault="00A75B34" w:rsidP="00A75B34"/>
        </w:tc>
      </w:tr>
      <w:tr w:rsidR="00A75B34" w:rsidRPr="006073D7" w14:paraId="3AAC1CC6" w14:textId="77777777" w:rsidTr="00F56664">
        <w:trPr>
          <w:trHeight w:val="488"/>
          <w:jc w:val="center"/>
        </w:trPr>
        <w:tc>
          <w:tcPr>
            <w:tcW w:w="988" w:type="dxa"/>
          </w:tcPr>
          <w:p w14:paraId="36D22AAF" w14:textId="77777777" w:rsidR="00A75B34" w:rsidRDefault="00A75B34" w:rsidP="00A75B34">
            <w:pPr>
              <w:ind w:left="360"/>
            </w:pPr>
          </w:p>
        </w:tc>
        <w:tc>
          <w:tcPr>
            <w:tcW w:w="3301" w:type="dxa"/>
          </w:tcPr>
          <w:p w14:paraId="37BC55A4" w14:textId="7EFA2935" w:rsidR="00A75B34" w:rsidRDefault="00A75B34" w:rsidP="00A75B34">
            <w:pPr>
              <w:jc w:val="left"/>
            </w:pPr>
          </w:p>
        </w:tc>
        <w:tc>
          <w:tcPr>
            <w:tcW w:w="4351" w:type="dxa"/>
          </w:tcPr>
          <w:p w14:paraId="4F2E34CB" w14:textId="77777777" w:rsidR="00A75B34" w:rsidRPr="006073D7" w:rsidRDefault="00A75B34" w:rsidP="00A75B34"/>
        </w:tc>
      </w:tr>
      <w:tr w:rsidR="00A75B34" w:rsidRPr="006073D7" w14:paraId="0EA6209E" w14:textId="77777777" w:rsidTr="00F56664">
        <w:trPr>
          <w:trHeight w:val="488"/>
          <w:jc w:val="center"/>
        </w:trPr>
        <w:tc>
          <w:tcPr>
            <w:tcW w:w="988" w:type="dxa"/>
          </w:tcPr>
          <w:p w14:paraId="20BF97BA" w14:textId="77777777" w:rsidR="00A75B34" w:rsidRDefault="00A75B34" w:rsidP="00A75B34">
            <w:pPr>
              <w:ind w:left="360"/>
            </w:pPr>
          </w:p>
        </w:tc>
        <w:tc>
          <w:tcPr>
            <w:tcW w:w="3301" w:type="dxa"/>
          </w:tcPr>
          <w:p w14:paraId="712C7CF4" w14:textId="13CE991F" w:rsidR="00A75B34" w:rsidRDefault="00A75B34" w:rsidP="00A75B34">
            <w:pPr>
              <w:jc w:val="left"/>
            </w:pPr>
          </w:p>
        </w:tc>
        <w:tc>
          <w:tcPr>
            <w:tcW w:w="4351" w:type="dxa"/>
          </w:tcPr>
          <w:p w14:paraId="52C29A4B" w14:textId="77777777" w:rsidR="00A75B34" w:rsidRPr="006073D7" w:rsidRDefault="00A75B34" w:rsidP="00A75B34"/>
        </w:tc>
      </w:tr>
      <w:tr w:rsidR="00A75B34" w:rsidRPr="006073D7" w14:paraId="54CD52BA" w14:textId="77777777" w:rsidTr="00C94823">
        <w:trPr>
          <w:trHeight w:val="64"/>
          <w:jc w:val="center"/>
        </w:trPr>
        <w:tc>
          <w:tcPr>
            <w:tcW w:w="988" w:type="dxa"/>
          </w:tcPr>
          <w:p w14:paraId="631E3626" w14:textId="65CBA5BF" w:rsidR="00A75B34" w:rsidRDefault="00A75B34" w:rsidP="00A75B34">
            <w:pPr>
              <w:ind w:left="360"/>
            </w:pPr>
          </w:p>
        </w:tc>
        <w:tc>
          <w:tcPr>
            <w:tcW w:w="3301" w:type="dxa"/>
          </w:tcPr>
          <w:p w14:paraId="191031AA" w14:textId="5CAE4FE5" w:rsidR="00A75B34" w:rsidRDefault="00A75B34" w:rsidP="00A75B34">
            <w:pPr>
              <w:jc w:val="left"/>
            </w:pPr>
          </w:p>
        </w:tc>
        <w:tc>
          <w:tcPr>
            <w:tcW w:w="4351" w:type="dxa"/>
          </w:tcPr>
          <w:p w14:paraId="1D4E02C7" w14:textId="77777777" w:rsidR="00A75B34" w:rsidRPr="006073D7" w:rsidRDefault="00A75B34" w:rsidP="00A75B34"/>
        </w:tc>
      </w:tr>
      <w:tr w:rsidR="00A75B34" w:rsidRPr="006073D7" w14:paraId="6878ACD8" w14:textId="77777777" w:rsidTr="00C94823">
        <w:trPr>
          <w:trHeight w:val="64"/>
          <w:jc w:val="center"/>
        </w:trPr>
        <w:tc>
          <w:tcPr>
            <w:tcW w:w="988" w:type="dxa"/>
          </w:tcPr>
          <w:p w14:paraId="24878961" w14:textId="77777777" w:rsidR="00A75B34" w:rsidRDefault="00A75B34" w:rsidP="00A75B34">
            <w:pPr>
              <w:ind w:left="360"/>
            </w:pPr>
          </w:p>
        </w:tc>
        <w:tc>
          <w:tcPr>
            <w:tcW w:w="3301" w:type="dxa"/>
          </w:tcPr>
          <w:p w14:paraId="7EAE1A49" w14:textId="65F07310" w:rsidR="00A75B34" w:rsidRDefault="00A75B34" w:rsidP="00A75B34">
            <w:pPr>
              <w:jc w:val="left"/>
            </w:pPr>
          </w:p>
        </w:tc>
        <w:tc>
          <w:tcPr>
            <w:tcW w:w="4351" w:type="dxa"/>
          </w:tcPr>
          <w:p w14:paraId="783370BB" w14:textId="77777777" w:rsidR="00A75B34" w:rsidRPr="006073D7" w:rsidRDefault="00A75B34" w:rsidP="00A75B34"/>
        </w:tc>
      </w:tr>
      <w:tr w:rsidR="00A75B34" w:rsidRPr="006073D7" w14:paraId="19AABC3E" w14:textId="77777777" w:rsidTr="00C94823">
        <w:trPr>
          <w:trHeight w:val="64"/>
          <w:jc w:val="center"/>
        </w:trPr>
        <w:tc>
          <w:tcPr>
            <w:tcW w:w="988" w:type="dxa"/>
          </w:tcPr>
          <w:p w14:paraId="3B4D8A29" w14:textId="77777777" w:rsidR="00A75B34" w:rsidRDefault="00A75B34" w:rsidP="00A75B34">
            <w:pPr>
              <w:ind w:left="360"/>
            </w:pPr>
          </w:p>
        </w:tc>
        <w:tc>
          <w:tcPr>
            <w:tcW w:w="3301" w:type="dxa"/>
          </w:tcPr>
          <w:p w14:paraId="28BA11D3" w14:textId="547B2632" w:rsidR="00A75B34" w:rsidRDefault="00A75B34" w:rsidP="00A75B34">
            <w:pPr>
              <w:jc w:val="left"/>
            </w:pPr>
          </w:p>
        </w:tc>
        <w:tc>
          <w:tcPr>
            <w:tcW w:w="4351" w:type="dxa"/>
          </w:tcPr>
          <w:p w14:paraId="054A97B5" w14:textId="77777777" w:rsidR="00A75B34" w:rsidRPr="006073D7" w:rsidRDefault="00A75B34" w:rsidP="00A75B34"/>
        </w:tc>
      </w:tr>
      <w:tr w:rsidR="00A75B34" w:rsidRPr="006073D7" w14:paraId="1F5B9C22" w14:textId="77777777" w:rsidTr="00C94823">
        <w:trPr>
          <w:trHeight w:val="64"/>
          <w:jc w:val="center"/>
        </w:trPr>
        <w:tc>
          <w:tcPr>
            <w:tcW w:w="988" w:type="dxa"/>
          </w:tcPr>
          <w:p w14:paraId="421F7548" w14:textId="77777777" w:rsidR="00A75B34" w:rsidRDefault="00A75B34" w:rsidP="00A75B34">
            <w:pPr>
              <w:ind w:left="360"/>
            </w:pPr>
          </w:p>
        </w:tc>
        <w:tc>
          <w:tcPr>
            <w:tcW w:w="3301" w:type="dxa"/>
          </w:tcPr>
          <w:p w14:paraId="4BE318A2" w14:textId="13752FE6" w:rsidR="00A75B34" w:rsidRDefault="00A75B34" w:rsidP="00A75B34">
            <w:pPr>
              <w:jc w:val="left"/>
            </w:pPr>
          </w:p>
        </w:tc>
        <w:tc>
          <w:tcPr>
            <w:tcW w:w="4351" w:type="dxa"/>
          </w:tcPr>
          <w:p w14:paraId="6234D1A5" w14:textId="77777777" w:rsidR="00A75B34" w:rsidRPr="006073D7" w:rsidRDefault="00A75B34" w:rsidP="00A75B34"/>
        </w:tc>
      </w:tr>
    </w:tbl>
    <w:p w14:paraId="777ABFA6" w14:textId="77777777" w:rsidR="00E65417" w:rsidRPr="006073D7" w:rsidRDefault="00E65417" w:rsidP="00E65417">
      <w:pPr>
        <w:pStyle w:val="Heading1"/>
        <w:spacing w:before="0" w:after="0"/>
        <w:jc w:val="left"/>
        <w:rPr>
          <w:b w:val="0"/>
          <w:sz w:val="24"/>
          <w:szCs w:val="24"/>
        </w:rPr>
      </w:pPr>
      <w:bookmarkStart w:id="70" w:name="_heading=h.wu6y5d5bba30" w:colFirst="0" w:colLast="0"/>
      <w:bookmarkStart w:id="71" w:name="_Toc46916382"/>
      <w:bookmarkEnd w:id="70"/>
      <w:r w:rsidRPr="006073D7">
        <w:rPr>
          <w:b w:val="0"/>
          <w:sz w:val="24"/>
          <w:szCs w:val="24"/>
        </w:rPr>
        <w:t>[Use this form for Framework Agreement:]</w:t>
      </w:r>
      <w:bookmarkEnd w:id="71"/>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72" w:name="_heading=h.4do4rnftodfr" w:colFirst="0" w:colLast="0"/>
      <w:bookmarkStart w:id="73" w:name="_Toc46916383"/>
      <w:bookmarkEnd w:id="72"/>
      <w:r w:rsidRPr="006073D7">
        <w:lastRenderedPageBreak/>
        <w:t>Technical Specifications</w:t>
      </w:r>
      <w:bookmarkEnd w:id="73"/>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74" w:name="_Toc46916384"/>
            <w:r w:rsidRPr="00D208D6">
              <w:rPr>
                <w:rFonts w:eastAsia="Arial"/>
                <w:sz w:val="24"/>
                <w:szCs w:val="24"/>
              </w:rPr>
              <w:t>TECHNICAL SPECIFICATIONS</w:t>
            </w:r>
            <w:bookmarkEnd w:id="74"/>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75" w:name="_Toc46916385"/>
            <w:r w:rsidRPr="00D208D6">
              <w:rPr>
                <w:rFonts w:eastAsia="Arial"/>
                <w:sz w:val="24"/>
                <w:szCs w:val="24"/>
              </w:rPr>
              <w:t>Item / Service</w:t>
            </w:r>
            <w:bookmarkEnd w:id="75"/>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6" w:name="_Toc46916386"/>
            <w:r w:rsidRPr="00D208D6">
              <w:rPr>
                <w:rFonts w:eastAsia="Arial"/>
                <w:sz w:val="24"/>
                <w:szCs w:val="24"/>
              </w:rPr>
              <w:t>Maximum Quantity</w:t>
            </w:r>
            <w:bookmarkEnd w:id="76"/>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7" w:name="_Toc46916387"/>
            <w:r w:rsidRPr="00D208D6">
              <w:rPr>
                <w:rFonts w:eastAsia="Arial"/>
                <w:sz w:val="24"/>
                <w:szCs w:val="24"/>
              </w:rPr>
              <w:t>Technical Specifications / Scope of Work</w:t>
            </w:r>
            <w:bookmarkEnd w:id="77"/>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8" w:name="_Toc46916388"/>
            <w:r w:rsidRPr="00D208D6">
              <w:rPr>
                <w:rFonts w:eastAsia="Arial"/>
                <w:sz w:val="24"/>
                <w:szCs w:val="24"/>
              </w:rPr>
              <w:t>Statement of Compliance</w:t>
            </w:r>
            <w:bookmarkEnd w:id="78"/>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9"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9"/>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80" w:name="_heading=h.z5rbrvacf6ii" w:colFirst="0" w:colLast="0"/>
            <w:bookmarkEnd w:id="80"/>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81" w:name="_heading=h.b5bi3ctzsu8a" w:colFirst="0" w:colLast="0"/>
            <w:bookmarkEnd w:id="81"/>
          </w:p>
        </w:tc>
      </w:tr>
    </w:tbl>
    <w:p w14:paraId="72F7587C" w14:textId="77777777" w:rsidR="00E65417" w:rsidRPr="006073D7" w:rsidRDefault="00E65417" w:rsidP="00E65417">
      <w:pPr>
        <w:pStyle w:val="Heading1"/>
        <w:spacing w:before="0" w:after="0"/>
      </w:pPr>
      <w:bookmarkStart w:id="82" w:name="_heading=h.vvbqool18jgw" w:colFirst="0" w:colLast="0"/>
      <w:bookmarkStart w:id="83" w:name="_Toc46916390"/>
      <w:bookmarkEnd w:id="82"/>
      <w:r w:rsidRPr="006073D7">
        <w:lastRenderedPageBreak/>
        <w:t>Section VIII. Checklist of Technical and Financial Documents</w:t>
      </w:r>
      <w:bookmarkEnd w:id="83"/>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84" w:name="_heading=h.2dlolyb" w:colFirst="0" w:colLast="0"/>
            <w:bookmarkEnd w:id="84"/>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85" w:name="_heading=h.sqyw64" w:colFirst="0" w:colLast="0"/>
      <w:bookmarkEnd w:id="85"/>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6" w:name="_heading=h.3cqmetx" w:colFirst="0" w:colLast="0"/>
            <w:bookmarkEnd w:id="86"/>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7" w:name="_heading=h.1rvwp1q" w:colFirst="0" w:colLast="0"/>
            <w:bookmarkEnd w:id="87"/>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lastRenderedPageBreak/>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3338" w14:textId="77777777" w:rsidR="00D87B96" w:rsidRDefault="00D87B96" w:rsidP="00E65417">
      <w:r>
        <w:separator/>
      </w:r>
    </w:p>
  </w:endnote>
  <w:endnote w:type="continuationSeparator" w:id="0">
    <w:p w14:paraId="22CFE0C2" w14:textId="77777777" w:rsidR="00D87B96" w:rsidRDefault="00D87B96"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208C" w14:textId="77777777" w:rsidR="00D87B96" w:rsidRDefault="00D87B96" w:rsidP="00E65417">
      <w:r>
        <w:separator/>
      </w:r>
    </w:p>
  </w:footnote>
  <w:footnote w:type="continuationSeparator" w:id="0">
    <w:p w14:paraId="5C2F2B49" w14:textId="77777777" w:rsidR="00D87B96" w:rsidRDefault="00D87B96"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DAA6AD3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0950C12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81792"/>
    <w:rsid w:val="000D022F"/>
    <w:rsid w:val="00120758"/>
    <w:rsid w:val="001366F7"/>
    <w:rsid w:val="00153C80"/>
    <w:rsid w:val="001D4FB4"/>
    <w:rsid w:val="001E32D4"/>
    <w:rsid w:val="001E3E3D"/>
    <w:rsid w:val="001E4301"/>
    <w:rsid w:val="001F0858"/>
    <w:rsid w:val="00210866"/>
    <w:rsid w:val="00212684"/>
    <w:rsid w:val="00237C78"/>
    <w:rsid w:val="002670EE"/>
    <w:rsid w:val="002F0D67"/>
    <w:rsid w:val="00366DFE"/>
    <w:rsid w:val="00396847"/>
    <w:rsid w:val="003A0785"/>
    <w:rsid w:val="003B5BC7"/>
    <w:rsid w:val="004020E3"/>
    <w:rsid w:val="004532FB"/>
    <w:rsid w:val="00477AC7"/>
    <w:rsid w:val="00500E90"/>
    <w:rsid w:val="00502B15"/>
    <w:rsid w:val="00512D95"/>
    <w:rsid w:val="0054729F"/>
    <w:rsid w:val="005744C8"/>
    <w:rsid w:val="0060089E"/>
    <w:rsid w:val="00606529"/>
    <w:rsid w:val="0063586D"/>
    <w:rsid w:val="00690166"/>
    <w:rsid w:val="006E4D76"/>
    <w:rsid w:val="00725A50"/>
    <w:rsid w:val="00750D00"/>
    <w:rsid w:val="00831702"/>
    <w:rsid w:val="00834D5E"/>
    <w:rsid w:val="008B3628"/>
    <w:rsid w:val="008C2866"/>
    <w:rsid w:val="008D1860"/>
    <w:rsid w:val="008E01DC"/>
    <w:rsid w:val="00900E17"/>
    <w:rsid w:val="009522B3"/>
    <w:rsid w:val="00961CAF"/>
    <w:rsid w:val="00961F07"/>
    <w:rsid w:val="009A5026"/>
    <w:rsid w:val="009A6E91"/>
    <w:rsid w:val="00A0000F"/>
    <w:rsid w:val="00A070B9"/>
    <w:rsid w:val="00A43611"/>
    <w:rsid w:val="00A5309E"/>
    <w:rsid w:val="00A75B34"/>
    <w:rsid w:val="00A82056"/>
    <w:rsid w:val="00AE665B"/>
    <w:rsid w:val="00AF2750"/>
    <w:rsid w:val="00B12222"/>
    <w:rsid w:val="00B72624"/>
    <w:rsid w:val="00B95A79"/>
    <w:rsid w:val="00BA50F5"/>
    <w:rsid w:val="00BB1F95"/>
    <w:rsid w:val="00BB309A"/>
    <w:rsid w:val="00BE389D"/>
    <w:rsid w:val="00BE4A78"/>
    <w:rsid w:val="00C61A40"/>
    <w:rsid w:val="00C6532D"/>
    <w:rsid w:val="00C94823"/>
    <w:rsid w:val="00CE6DAD"/>
    <w:rsid w:val="00D74C2E"/>
    <w:rsid w:val="00D87B96"/>
    <w:rsid w:val="00D95B3B"/>
    <w:rsid w:val="00DB27D8"/>
    <w:rsid w:val="00DB28FB"/>
    <w:rsid w:val="00DC3CB3"/>
    <w:rsid w:val="00E65417"/>
    <w:rsid w:val="00E7079A"/>
    <w:rsid w:val="00E84BDF"/>
    <w:rsid w:val="00EF3305"/>
    <w:rsid w:val="00F07E18"/>
    <w:rsid w:val="00F35B61"/>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10425</Words>
  <Characters>59427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3</cp:revision>
  <dcterms:created xsi:type="dcterms:W3CDTF">2022-03-02T05:59:00Z</dcterms:created>
  <dcterms:modified xsi:type="dcterms:W3CDTF">2022-03-02T06:09:00Z</dcterms:modified>
</cp:coreProperties>
</file>